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32" w:rsidRDefault="00AE4B32" w:rsidP="00615C54">
      <w:pPr>
        <w:jc w:val="both"/>
      </w:pPr>
      <w:r>
        <w:t xml:space="preserve">RIESGOS DEL TRABAJO Decreto 170/96 </w:t>
      </w:r>
    </w:p>
    <w:p w:rsidR="00AE4B32" w:rsidRDefault="00AE4B32" w:rsidP="00615C54">
      <w:pPr>
        <w:jc w:val="both"/>
      </w:pPr>
      <w:r>
        <w:t xml:space="preserve">Reglamentación de la Ley 24.557. Bs. As., 21/2/96 </w:t>
      </w:r>
    </w:p>
    <w:p w:rsidR="00AE4B32" w:rsidRDefault="00AE4B32" w:rsidP="00615C54">
      <w:pPr>
        <w:jc w:val="both"/>
      </w:pPr>
      <w:r>
        <w:t xml:space="preserve">VISTO los artículos 4, 24 y 31 de la Ley Nº 24.557 y CONSIDERANDO: </w:t>
      </w:r>
    </w:p>
    <w:p w:rsidR="00AE4B32" w:rsidRDefault="00AE4B32" w:rsidP="00615C54">
      <w:pPr>
        <w:jc w:val="both"/>
      </w:pPr>
      <w:r>
        <w:t xml:space="preserve">Que uno de los objetivos principales de la citada Ley es la prevención de los riesgos del trabajo. Que el artículo 4, punto 2, segundo párrafo de la Ley sobre Riesgos del Trabajo establece que el Poder Ejecutivo regular las pautas y contenidos del Plan de Mejoramiento de las condiciones de higiene y seguridad en el trabajo. </w:t>
      </w:r>
    </w:p>
    <w:p w:rsidR="00AE4B32" w:rsidRDefault="00AE4B32" w:rsidP="00615C54">
      <w:pPr>
        <w:jc w:val="both"/>
      </w:pPr>
      <w:r>
        <w:t xml:space="preserve">Que a los fines de establecer pautas para el desarrollo de los Planes de Mejoramiento resulta conveniente clasificar a los empleadores afiliados por el grado de cumplimiento de la normativa sobre higiene y seguridad. Que el método diseñado establece CUATRO (4) niveles de cumplimiento de dichas normas, DOS (2) de los cuales tienden a lograr el objetivo esencial de la Ley, que no es otro que el pleno cumplimiento de la normativa sobre higiene y seguridad en el trabajo en un plazo de DOS (2) años, permitiendo a los empleadores adecuar paulatinamente sus instalaciones, sistemas y procesos de producción, a las prescripciones legales vigentes. </w:t>
      </w:r>
    </w:p>
    <w:p w:rsidR="00AE4B32" w:rsidRDefault="00AE4B32" w:rsidP="00615C54">
      <w:pPr>
        <w:jc w:val="both"/>
      </w:pPr>
      <w:r>
        <w:t xml:space="preserve">Que también resulta necesario fijar los criterios con que se evaluará el cumplimiento del citado Plan de Mejoramiento y establecer métodos de solución de conflictos acordes a la relación que une a las partes, sin perjuicio de la función que se reserva a la Superintendencia de Riesgos del Trabajo como árbitro final de cualquier posible controversia. </w:t>
      </w:r>
    </w:p>
    <w:p w:rsidR="00AE4B32" w:rsidRDefault="00AE4B32" w:rsidP="00615C54">
      <w:pPr>
        <w:jc w:val="both"/>
      </w:pPr>
      <w:r>
        <w:t xml:space="preserve">Que es necesario precisar el modo de composición de la alícuotas, contemplando los costos de las prestaciones en especie y las prestaciones económicas. </w:t>
      </w:r>
    </w:p>
    <w:p w:rsidR="00AE4B32" w:rsidRDefault="00AE4B32" w:rsidP="00615C54">
      <w:pPr>
        <w:jc w:val="both"/>
      </w:pPr>
      <w:r>
        <w:t>Que por último se impone precisar el alcance de los derechos, deberes y prohibiciones de las aseguradoras, de los empleadores asegurados y autoasegurados y de los trabajadores en general. Que el presente se dicta en uso de las facultades conferidas por el artículo 99, inciso 2, de la Constitución Nacional.</w:t>
      </w:r>
    </w:p>
    <w:p w:rsidR="00AE4B32" w:rsidRDefault="00AE4B32" w:rsidP="00615C54">
      <w:pPr>
        <w:jc w:val="both"/>
      </w:pPr>
      <w:r>
        <w:t xml:space="preserve"> Por ello, EL PRESIDENTE DE LA NACION ARGENTINA DECRETA: </w:t>
      </w:r>
    </w:p>
    <w:p w:rsidR="00AE4B32" w:rsidRDefault="00AE4B32" w:rsidP="00615C54">
      <w:pPr>
        <w:jc w:val="both"/>
      </w:pPr>
      <w:r>
        <w:t xml:space="preserve">TITULO I </w:t>
      </w:r>
    </w:p>
    <w:p w:rsidR="00AE4B32" w:rsidRDefault="00AE4B32" w:rsidP="00615C54">
      <w:pPr>
        <w:jc w:val="both"/>
      </w:pPr>
      <w:r>
        <w:t xml:space="preserve">Artículo 1º — ESTRUCTURA DEL PLAN DE MEJORAMIENTO (Reglamentario del artículo 4º, punto 2 de la Ley Nº 24.557) — Los Planes de Mejoramiento de las condiciones de higiene y seguridad en el trabajo deberán confeccionarse siguiendo las siguientes pautas y contenidos: </w:t>
      </w:r>
    </w:p>
    <w:p w:rsidR="00AE4B32" w:rsidRDefault="00AE4B32" w:rsidP="00615C54">
      <w:pPr>
        <w:jc w:val="both"/>
      </w:pPr>
      <w:r>
        <w:t>a) El Plan se desarrollará en diferentes niveles. Cada uno comprenderá un conjunto de etapas a cumplir.</w:t>
      </w:r>
    </w:p>
    <w:p w:rsidR="00AE4B32" w:rsidRDefault="00AE4B32" w:rsidP="00615C54">
      <w:pPr>
        <w:jc w:val="both"/>
      </w:pPr>
      <w:r>
        <w:t xml:space="preserve"> b) Cada etapa contendrá, a su vez, un conjunto de elementos que el empleador debe desarrollar, con el objeto de mejorar las condiciones y el medio ambiente de trabajo. </w:t>
      </w:r>
    </w:p>
    <w:p w:rsidR="00AE4B32" w:rsidRDefault="00AE4B32" w:rsidP="00615C54">
      <w:pPr>
        <w:jc w:val="both"/>
      </w:pPr>
      <w:r>
        <w:lastRenderedPageBreak/>
        <w:t xml:space="preserve">Art. 2º — NIVELES DE CUMPLIMIENTO DE NORMAS DE PREVENCION (Reglamentario del artículo 4º, punto 2 de la Ley Nº 24.557) — Los niveles serán CUATRO (4) y determinarán el grado de cumplimiento de la normativa de higiene y seguridad: </w:t>
      </w:r>
    </w:p>
    <w:p w:rsidR="00AE4B32" w:rsidRDefault="00AE4B32" w:rsidP="00615C54">
      <w:pPr>
        <w:jc w:val="both"/>
      </w:pPr>
      <w:r>
        <w:t>a) Primer nivel La calificación en el primer nivel implica el no cumplimiento de las obligaciones que, conforme lo disponga la Superintendencia de Riesgos del Trabajo, se consideren básicas en materia de higiene y seguridad. Los elementos a desarrollar en las etapas correspondientes a este nivel tenderán al cumplimiento de dichas obligaciones básicas en un período máximo de DOCE (12) meses, contados desde que fue acordado el primer Plan de Mejoramiento.</w:t>
      </w:r>
    </w:p>
    <w:p w:rsidR="00AE4B32" w:rsidRDefault="00AE4B32" w:rsidP="00615C54">
      <w:pPr>
        <w:jc w:val="both"/>
      </w:pPr>
      <w:r>
        <w:t xml:space="preserve">b) Segundo nivel La calificación en el segundo nivel implica el cumplimiento de las obligaciones que se consideren básicas en materia de higiene y seguridad. Los elementos a desarrollar en las etapas correspondientes a este nivel tenderán al cumplimiento de todas las obligaciones legales en un período máximo de VEINTICUATRO (24) meses, contados desde que fue acordado el primer Plan de Mejoramiento. </w:t>
      </w:r>
    </w:p>
    <w:p w:rsidR="00AE4B32" w:rsidRDefault="00AE4B32" w:rsidP="00615C54">
      <w:pPr>
        <w:jc w:val="both"/>
      </w:pPr>
      <w:r>
        <w:t xml:space="preserve">c) Tercer nivel La calificación en el tercer nivel implica el cumplimiento de todas las obligaciones legales en materia de higiene y seguridad. </w:t>
      </w:r>
    </w:p>
    <w:p w:rsidR="00AE4B32" w:rsidRDefault="00AE4B32" w:rsidP="00615C54">
      <w:pPr>
        <w:jc w:val="both"/>
      </w:pPr>
      <w:r>
        <w:t xml:space="preserve">d) Cuarto nivel La calificación en este nivel implica alcanzar niveles de prevención y de condiciones y medio ambiente de trabajo superiores a las obligaciones legales en materia de higiene y seguridad. Cada empleador evaluará, con la aseguradora que contrate, el nivel de cumplimiento de la legislación vigente en que se encuentra y el que prevé alcanzar desde la firma del contrato. Como mínimo los planes de mejoramiento deben prever alcanzar la calificación en el tercer nivel dentro del plazo previsto en el artículo 9º del presente decreto. </w:t>
      </w:r>
    </w:p>
    <w:p w:rsidR="00AE4B32" w:rsidRDefault="00AE4B32" w:rsidP="00615C54">
      <w:pPr>
        <w:jc w:val="both"/>
      </w:pPr>
      <w:r>
        <w:t xml:space="preserve">Art. 3º — (Reglamentario del artículo 4º, punto 2 de la Ley Nº 24.557) — Los empleadores que hayan calificado en el tercer nivel, podrán: </w:t>
      </w:r>
    </w:p>
    <w:p w:rsidR="00AE4B32" w:rsidRDefault="00AE4B32" w:rsidP="00615C54">
      <w:pPr>
        <w:jc w:val="both"/>
      </w:pPr>
      <w:r>
        <w:t xml:space="preserve">a) Permanecer en el tercer nivel de cumplimiento, para lo cual deberán desarrollar actividades permanentes de prevención de riesgos y mantenimiento de las condiciones y medio ambiente de trabajo alcanzadas. </w:t>
      </w:r>
    </w:p>
    <w:p w:rsidR="00AE4B32" w:rsidRDefault="00AE4B32" w:rsidP="00615C54">
      <w:pPr>
        <w:jc w:val="both"/>
      </w:pPr>
      <w:r>
        <w:t xml:space="preserve">b) Acordar con la aseguradora planes alternativos para el desarrollo de nuevos elementos que permitan calificar en el cuarto nivel. La determinación de los elementos a desarrollar en los planes alternativos se efectuará en función de la categoría de riesgo de la actividad del empleador y del número de trabajadores. La Superintendencia de Riesgos del Trabajo determinará las categorías de riesgo de las distintas actividades, los planes alternativos y los elementos a desarrollar en cada uno de ellos. Los plazos de ejecución de los planes alternativos serán acordados entre el empleador y la aseguradora a la que se encuentre afiliado. </w:t>
      </w:r>
    </w:p>
    <w:p w:rsidR="00AE4B32" w:rsidRDefault="00AE4B32" w:rsidP="00615C54">
      <w:pPr>
        <w:jc w:val="both"/>
      </w:pPr>
      <w:r>
        <w:t xml:space="preserve">Art. 4º — (Reglamentario del artículo 4, punto 2 de la Ley Nº 24.557) — El desarrollo de todos los elementos de un nivel antes del plazo acordado con la aseguradora dará derecho al empleador a calificar en el nivel de cumplimiento superior. No se podrá calificar para un nivel superior si existen obligaciones pendientes del nivel en que se encuentra calificado. </w:t>
      </w:r>
    </w:p>
    <w:p w:rsidR="00AE4B32" w:rsidRDefault="00AE4B32" w:rsidP="00615C54">
      <w:pPr>
        <w:jc w:val="both"/>
      </w:pPr>
      <w:r>
        <w:lastRenderedPageBreak/>
        <w:t xml:space="preserve">Art. 5º — (Reglamentario del artículo 4º, punto 2 de la Ley Nº 24.557) — El Plan de Mejoramiento se elaborará a partir de la evaluación del grado de cumplimiento de la normativa de higiene y seguridad en el trabajo del establecimiento o empresa, efectuada en forma conjunta por el empleador y la aseguradora. La evaluación se realizará en un formulario establecido por la Superintendencia de Riesgos del Trabajo. La aseguradora podrá requerir al empleador que realice la evaluación e instruirlo en la metodología a ser empleada para cumplir este requisito. La aseguradora podrá verificar en cualquier momento la declaración del empleador y, en su caso, notificará a la Superintendencia de Riesgos del Trabajo a fin de que proceda a aplicar las sanciones que pudieren corresponder. Efectuada la evaluación, las partes elaborarán el Plan de Mejoramiento y determinarán los elementos a desarrollar en forma prioritaria, teniendo en cuenta el diagnóstico realizado y los lineamientos establecidos para cada nivel por la Superintendencia de Riesgos del Trabajo. El plan se redactará en lenguaje claro, procurando evitar el uso de conceptos equívocos, de modo que el empleador pueda comprender con claridad sus compromisos e identificar los aspectos que debe mejorar para adecuarse a la legislación vigente. </w:t>
      </w:r>
    </w:p>
    <w:p w:rsidR="00AE4B32" w:rsidRDefault="00AE4B32" w:rsidP="00615C54">
      <w:pPr>
        <w:jc w:val="both"/>
      </w:pPr>
      <w:r>
        <w:t xml:space="preserve">Art. 6º — (Reglamentario del artículo 4º, punto 2 de la Ley Nº 24.557) — El Plan de Mejoramiento debe incluir requisitos mínimo a desarrollar por los empleadores, conforme lo disponga la Superintendencia de Riesgos del Trabajo para cada sector de cada actividad. </w:t>
      </w:r>
    </w:p>
    <w:p w:rsidR="00AE4B32" w:rsidRDefault="00AE4B32" w:rsidP="00615C54">
      <w:pPr>
        <w:jc w:val="both"/>
      </w:pPr>
      <w:r>
        <w:t xml:space="preserve">Art. 7º — (Reglamentario del artículo 4º, punto 2 de la Ley Nº 24.557) — El Plan de Mejoramiento será redactado teniendo en cuenta las pautas y contenidos establecidos en el presente decreto y con las formalidades y demás requisitos que disponga la Superintendencia de Riesgos del Trabajo. </w:t>
      </w:r>
    </w:p>
    <w:p w:rsidR="00AE4B32" w:rsidRDefault="00AE4B32" w:rsidP="00615C54">
      <w:pPr>
        <w:jc w:val="both"/>
      </w:pPr>
      <w:r>
        <w:t xml:space="preserve">Art. 8º — (Reglamentario del artículo 4º, punto 2 de la Ley Nº 24.557) — Quedan excluidos del Plan de Mejoramiento, pero sujetos al cumplimiento de las disposiciones legales vigentes en materia de higiene y seguridad en el trabajo, los siguientes supuestos: </w:t>
      </w:r>
    </w:p>
    <w:p w:rsidR="00AE4B32" w:rsidRDefault="00AE4B32" w:rsidP="00615C54">
      <w:pPr>
        <w:jc w:val="both"/>
      </w:pPr>
      <w:r>
        <w:t xml:space="preserve">a) Los empleadores autoasegurados. </w:t>
      </w:r>
    </w:p>
    <w:p w:rsidR="00AE4B32" w:rsidRDefault="00AE4B32" w:rsidP="00615C54">
      <w:pPr>
        <w:jc w:val="both"/>
      </w:pPr>
      <w:r>
        <w:t xml:space="preserve">b) Los empleadores no asegurados. </w:t>
      </w:r>
    </w:p>
    <w:p w:rsidR="00AE4B32" w:rsidRDefault="00AE4B32" w:rsidP="00615C54">
      <w:pPr>
        <w:jc w:val="both"/>
      </w:pPr>
      <w:r>
        <w:t xml:space="preserve">c) Aquellos empleadores o actividades que la Superintendencia de Riesgos del Trabajo resuelva excluir mediante resolución fundada en el riesgo propio de la actividad o en el incumplimiento grave y reiterado de planes de mejoramiento o compromisos asumidos. Los empleadores que desarrollen sus tareas en forma estacional o por períodos inferiores a un año y los empleadores de la construcción sólo podrán acceder a Planes de Mejoramiento cuando reúnan los requisitos y condiciones que establezca la Superintendencia de Riesgos del Trabajo. </w:t>
      </w:r>
    </w:p>
    <w:p w:rsidR="00AE4B32" w:rsidRDefault="00AE4B32" w:rsidP="00615C54">
      <w:pPr>
        <w:jc w:val="both"/>
      </w:pPr>
      <w:r>
        <w:t xml:space="preserve">Art. 9º — (Reglamentario del artículo 4º, punto 2 de la Ley Nº 24.557) — El Plan de Mejoramiento deberá ser acordado entre la aseguradora y el empleador dentro del plazo de TRES (3) meses de firmado el contrato de afiliación o de los SEIS (6) meses de vigencia del sistema de reparaciones de la Ley sobre Riesgos del Trabajo, el que fuere mayor. Las obligaciones correspondientes al segundo nivel deben completarse dentro de los VEINTICUATRO (24) meses siguientes, computados desde la firma del contrato de afiliación o de la entrada en vigencia de la Ley sobre Riesgos del Trabajo. El </w:t>
      </w:r>
      <w:r>
        <w:lastRenderedPageBreak/>
        <w:t xml:space="preserve">empleador que decidiera cambiar de aseguradora, estar obligado a cumplir dichas obligaciones. En ese caso, el plazo se contará desde que fuera acordado el primer Plan de Mejoramiento. </w:t>
      </w:r>
    </w:p>
    <w:p w:rsidR="00AE4B32" w:rsidRDefault="00AE4B32" w:rsidP="00615C54">
      <w:pPr>
        <w:jc w:val="both"/>
      </w:pPr>
      <w:r>
        <w:t xml:space="preserve">Art. 10. — (Reglamentario del artículo 4º, punto 2 de la Ley Nº 24.557) La nueva aseguradora con la que contrate el empleador deberá verificar el adecuado cumplimiento de los anteriores Planes de Mejoramiento. Vencido el plazo máximo para dar cumplimiento al Plan de Mejoramiento, el empleador será sancionado conforme la normativa de higiene y seguridad en el trabajo. </w:t>
      </w:r>
    </w:p>
    <w:p w:rsidR="00AE4B32" w:rsidRDefault="00AE4B32" w:rsidP="00615C54">
      <w:pPr>
        <w:jc w:val="both"/>
      </w:pPr>
      <w:r>
        <w:t xml:space="preserve">Art. 11. — (Reglamentario del artículo 4º, punto 3 de la Ley Nº 24.557) — Mientras el empleador se encuentre ejecutando el Plan de Mejoramiento no podrá ser sancionado por incumplimiento de las normas de higiene y seguridad en el trabajo. En todo momento la Superintendencia de Riesgos del Trabajo podrá requerir al empleador y a la aseguradora, mediante resolución fundada, la adopción de medidas urgentes para prevenir riesgos graves e inminentes para la salud de los trabajadores. </w:t>
      </w:r>
    </w:p>
    <w:p w:rsidR="00AE4B32" w:rsidRDefault="00AE4B32" w:rsidP="00615C54">
      <w:pPr>
        <w:jc w:val="both"/>
      </w:pPr>
      <w:r>
        <w:t xml:space="preserve">Art. 12. — (Reglamentario del artículo 4º, punto 3 de la Ley Nº 24.557) — La disposición del artículo 4º, punto 3 de la Ley sobre Riesgos del Trabajo no será de aplicación respecto de las obligaciones y elementos contemplados en el Plan de Mejoramiento que no fueren cumplidos dentro del plazo estipulado. La Superintendencia de Riesgos del Trabajo, y la aseguradora, en su caso, evaluarán el cumplimiento de las obligaciones con criterio de razonabilidad. Se entenderá por criterio de razonabilidad, tener en cuenta el normal desgaste de máquinas, herramientas, elementos de protección, las circunstancias eventuales o de fuerza mayor que pudieren justificar momentáneamente un incumplimiento, y las medidas que el empleador hubiera adoptado para subsanar dichos inconvenientes. La Superintendencia de Riesgos del Trabajo podrá establecer reglas de tolerancia de cumplimiento obligatorio para quienes evalúen el cumplimiento de las obligaciones legales. </w:t>
      </w:r>
    </w:p>
    <w:p w:rsidR="00AE4B32" w:rsidRDefault="00AE4B32" w:rsidP="00615C54">
      <w:pPr>
        <w:jc w:val="both"/>
      </w:pPr>
      <w:r>
        <w:t xml:space="preserve">Art. 13. — (Reglamentario del artículo 4º, punto 5 de la Ley Nº 24.557) — El contrato de afiliación podrá incluir fórmulas de arbitraje u otros mecanismos para la resolución de los conflictos que surjan de la elaboración o ejecución del Plan de Mejoramiento, sin perjuicio de la función que le compete a la Superintendencia de Riesgos del Trabajo como árbitro final de cualquier posible controversia. </w:t>
      </w:r>
    </w:p>
    <w:p w:rsidR="00AE4B32" w:rsidRDefault="00AE4B32" w:rsidP="00615C54">
      <w:pPr>
        <w:jc w:val="both"/>
      </w:pPr>
      <w:r>
        <w:t xml:space="preserve">Art. 14. — (Reglamentario del artículo 4º, punto 5 de la Ley Nº 24.557) — La Superintendencia de Riesgos del Trabajo resolverá las controversias que le sean sometidas respecto del contenido y la ejecución del Plan de Mejoramiento y de las excepciones previstas en el artículo 8º del presente Decreto conforme al procedimiento que establezca. TITULO II </w:t>
      </w:r>
    </w:p>
    <w:p w:rsidR="00AE4B32" w:rsidRDefault="00AE4B32" w:rsidP="00615C54">
      <w:pPr>
        <w:jc w:val="both"/>
      </w:pPr>
      <w:r>
        <w:t xml:space="preserve">Art. 15. — (Reglamentario del artículo 24 de la Ley Nº 24.557) — La aseguradora establecerá libremente, y conforme a los indicadores que fijen la Superintendencia de Seguros de la Nación y la Superintendencia de Riesgos del Trabajo, un régimen de alícuotas por adhesión aplicable a todos los empleadores que pretendan afiliarse. Cada alícuota estará compuesta por un porcentaje sobre la base imponible más una suma fija por cada trabajador, expresada en pesos. Integrará también la alícuotas, una suma fija por cada trabajador, de un valor mínimo de PESOS SESENTA </w:t>
      </w:r>
      <w:r>
        <w:lastRenderedPageBreak/>
        <w:t xml:space="preserve">CENTAVOS ($ 0,60), destinada al financiamiento del FONDO para FINES ESPECIFICOS. (Párrafo incorporado por art. 5º del Decreto Nº 590/97 B.O. 04/07/199 El Poder Ejecutivo Nacional deberá incrementar la suma fija indicada en el párrafo precedente en caso de que el Fondo para Fines Específicos pudiera resultar deficitario. (Párrafo incorporado por art. 17 del Decreto Nº 1278/2000 B.O. 03/01/2001) Las bonificaciones por permanencia que establezca la aseguradora integrarán el régimen de alícuotas por adhesión. Las aseguradoras podrán solicitar a la Superintendencia de Seguros de la Nación el cambio de su régimen de alícuotas en cualquier momento. Aprobado el nuevo régimen de alícuotas, el empleador afiliado podrá, automáticamente, adherir a éste si le resultare más favorable o, por el período de un año, mantener el incorporado a su contrato. El plazo mencionado en el apartado anterior se computará desde la fecha de afiliación a la aseguradora o desde la fecha de la incorporación de la alícuotas vigente en el contrato y hasta la renovación del mismo. </w:t>
      </w:r>
    </w:p>
    <w:p w:rsidR="00AE4B32" w:rsidRDefault="00AE4B32" w:rsidP="00615C54">
      <w:pPr>
        <w:jc w:val="both"/>
      </w:pPr>
      <w:r>
        <w:t xml:space="preserve">TITULO III </w:t>
      </w:r>
    </w:p>
    <w:p w:rsidR="00AE4B32" w:rsidRDefault="00AE4B32" w:rsidP="00615C54">
      <w:pPr>
        <w:jc w:val="both"/>
      </w:pPr>
      <w:r>
        <w:t>Art. 16. — (Reglamentario del artículo 31, punto 1, inciso a) de la Ley Nº 24.557) — Cuando el empleador afiliado no cumpla en tiempo y forma con las obligaciones establecidas en el artículo 9º del presente Decreto la aseguradora notificará a la Superintendencia de Riesgos del Trabajo, dentro de los TREINTA (30) días corridos de verificado el hecho. La misma obligación tendrá la aseguradora cuando, una vez cumplido el Plan de Mejoramiento, el empleador no cumpliera con las obligaciones legales en materia de higiene y seguridad.</w:t>
      </w:r>
    </w:p>
    <w:p w:rsidR="00AE4B32" w:rsidRDefault="00AE4B32" w:rsidP="00615C54">
      <w:pPr>
        <w:jc w:val="both"/>
      </w:pPr>
      <w:r>
        <w:t xml:space="preserve"> Art. 17. — (Reglamentario del artículo 31, punto 1, inciso a) de la Ley Nº 24.557) — La Superintendencia de Riesgos del Trabajo establecerá los procedimientos de denuncia e información que la Ley sobre Riesgos del Trabajo impone a las aseguradoras en el inciso que se reglamenta. </w:t>
      </w:r>
    </w:p>
    <w:p w:rsidR="00AE4B32" w:rsidRDefault="00AE4B32" w:rsidP="00615C54">
      <w:pPr>
        <w:jc w:val="both"/>
      </w:pPr>
      <w:r>
        <w:t xml:space="preserve">Art. 18. — (Reglamentario del artículo 31, punto 1, inciso e) de la Ley Nº 24.557) — Las aseguradoras deberán brindar asesoramiento y ofrecer asistencia técnica a los empleadores afiliados, en las siguientes materias: </w:t>
      </w:r>
    </w:p>
    <w:p w:rsidR="00AE4B32" w:rsidRDefault="00AE4B32" w:rsidP="00615C54">
      <w:pPr>
        <w:jc w:val="both"/>
      </w:pPr>
      <w:r>
        <w:t xml:space="preserve">a) Determinación de la existencia de riesgos y sus potenciales efectos sobre la salud de los trabajadores en el o los establecimientos del ámbito del contrato. </w:t>
      </w:r>
    </w:p>
    <w:p w:rsidR="00AE4B32" w:rsidRDefault="00AE4B32" w:rsidP="00615C54">
      <w:pPr>
        <w:jc w:val="both"/>
      </w:pPr>
      <w:r>
        <w:t xml:space="preserve">b) Normativa vigente en materia de higiene y seguridad en el trabajo. </w:t>
      </w:r>
    </w:p>
    <w:p w:rsidR="00AE4B32" w:rsidRDefault="00AE4B32" w:rsidP="00615C54">
      <w:pPr>
        <w:jc w:val="both"/>
      </w:pPr>
      <w:r>
        <w:t xml:space="preserve">c) Selección de elementos de protección personal. </w:t>
      </w:r>
    </w:p>
    <w:p w:rsidR="00AE4B32" w:rsidRDefault="00AE4B32" w:rsidP="00615C54">
      <w:pPr>
        <w:jc w:val="both"/>
      </w:pPr>
      <w:r>
        <w:t xml:space="preserve">d) Suministro de información relacionada a la seguridad en el empleo de productos químicos y biológicos. </w:t>
      </w:r>
    </w:p>
    <w:p w:rsidR="00AE4B32" w:rsidRDefault="00AE4B32" w:rsidP="00615C54">
      <w:pPr>
        <w:jc w:val="both"/>
      </w:pPr>
      <w:r>
        <w:t>Art. 19. — Las aseguradoras deberán realizar actividades permanentes de prevención de riesgos y control de las condiciones y medio ambiente de trabajo. A tal fin deberán:</w:t>
      </w:r>
    </w:p>
    <w:p w:rsidR="00AE4B32" w:rsidRDefault="00AE4B32" w:rsidP="00615C54">
      <w:pPr>
        <w:jc w:val="both"/>
      </w:pPr>
      <w:r>
        <w:lastRenderedPageBreak/>
        <w:t xml:space="preserve"> a) Vigilar la marcha del Plan de Mejoramiento en los lugares de trabajo, dejando constancia de sus visitas y de las observaciones efectuadas en el formulario que a tal fin disponga la Superintendencia de Riesgos del Trabajo. </w:t>
      </w:r>
    </w:p>
    <w:p w:rsidR="00AE4B32" w:rsidRDefault="00AE4B32" w:rsidP="00615C54">
      <w:pPr>
        <w:jc w:val="both"/>
      </w:pPr>
      <w:r>
        <w:t xml:space="preserve">b) Verificar el mantenimiento de los niveles de cumplimiento alcanzados con el Plan de Mejoramiento. </w:t>
      </w:r>
    </w:p>
    <w:p w:rsidR="00AE4B32" w:rsidRDefault="00AE4B32" w:rsidP="00615C54">
      <w:pPr>
        <w:jc w:val="both"/>
      </w:pPr>
      <w:r>
        <w:t xml:space="preserve">c) Brindar capacitación a los trabajadores en técnicas de prevención de riesgos. </w:t>
      </w:r>
    </w:p>
    <w:p w:rsidR="00AE4B32" w:rsidRDefault="00AE4B32" w:rsidP="00615C54">
      <w:pPr>
        <w:jc w:val="both"/>
      </w:pPr>
      <w:r>
        <w:t xml:space="preserve">d) Promover la integración de comisiones paritarias de riesgos del trabajo y colaborar en su capacitación. </w:t>
      </w:r>
    </w:p>
    <w:p w:rsidR="00AE4B32" w:rsidRDefault="00AE4B32" w:rsidP="00615C54">
      <w:pPr>
        <w:jc w:val="both"/>
      </w:pPr>
      <w:r>
        <w:t>e) Informar al empleador y a los trabajadores sobre el sistema de prevención establecido en la Ley sobre Riesgos del Trabajo y el presente decreto, en particular sobre los derechos y deberes de cada una de las partes.</w:t>
      </w:r>
    </w:p>
    <w:p w:rsidR="00AE4B32" w:rsidRDefault="00AE4B32" w:rsidP="00615C54">
      <w:pPr>
        <w:jc w:val="both"/>
      </w:pPr>
      <w:r>
        <w:t xml:space="preserve"> f) Instruir, a los trabajadores designados por el empleador, en los sistemas de evaluación a aplicar para verificar el cumplimiento del Plan de Mejoramiento.</w:t>
      </w:r>
    </w:p>
    <w:p w:rsidR="00AE4B32" w:rsidRDefault="00AE4B32" w:rsidP="00615C54">
      <w:pPr>
        <w:jc w:val="both"/>
      </w:pPr>
      <w:r>
        <w:t xml:space="preserve">g) Colaborar en las investigaciones y acciones de promoción de la prevención que desarrolle la Superintendencia de Riesgos del Trabajo. </w:t>
      </w:r>
    </w:p>
    <w:p w:rsidR="00AE4B32" w:rsidRDefault="00AE4B32" w:rsidP="00615C54">
      <w:pPr>
        <w:jc w:val="both"/>
      </w:pPr>
      <w:r>
        <w:t xml:space="preserve">h) Cumplir toda obligación que establezca la Superintendencia de Riesgos del Trabajo. La Superintendencia de Riesgos del Trabajo determinar la frecuencia y condiciones para la realización de las actividades de prevención y control, teniendo en cuenta las necesidades de cada una de las ramas de cada actividad. </w:t>
      </w:r>
    </w:p>
    <w:p w:rsidR="00AE4B32" w:rsidRDefault="00AE4B32" w:rsidP="00615C54">
      <w:pPr>
        <w:jc w:val="both"/>
      </w:pPr>
      <w:r>
        <w:t xml:space="preserve">Art. 20. — Para cumplir con las obligaciones establecidas precedentemente las aseguradoras deberán contar con personal especializado en higiene y seguridad o medicina del trabajo de modo que asegure la atención en materia de prevención de riesgos de sus afiliados. </w:t>
      </w:r>
    </w:p>
    <w:p w:rsidR="008F5C6A" w:rsidRDefault="00AE4B32" w:rsidP="00615C54">
      <w:pPr>
        <w:jc w:val="both"/>
      </w:pPr>
      <w:r>
        <w:t xml:space="preserve">Art. 21. — La capacitación brindada por la aseguradora deberá realizarse en el domicilio del empleador o del establecimiento en su caso, salvo acuerdo en contrario. Las fechas y horarios de capacitación serán acordados con el empleador. Los trabajadores estarán obligados a concurrir a los cursos de capacitación que se dicten dentro de su horario de trabajo, y a firmar las constancias correspondientes. </w:t>
      </w:r>
    </w:p>
    <w:p w:rsidR="008F5C6A" w:rsidRDefault="00AE4B32" w:rsidP="00615C54">
      <w:pPr>
        <w:jc w:val="both"/>
      </w:pPr>
      <w:r>
        <w:t xml:space="preserve">Art. 22. — Las aseguradoras y su personal que tengan acceso al conocimiento de procesos y equipos existentes en los establecimientos sometidos a su vigilancia estarán obligados a guardar secreto acerca de los mismos. </w:t>
      </w:r>
    </w:p>
    <w:p w:rsidR="008F5C6A" w:rsidRDefault="00AE4B32" w:rsidP="00615C54">
      <w:pPr>
        <w:jc w:val="both"/>
      </w:pPr>
      <w:r>
        <w:t>Art. 23. — Las aseguradoras participarán en las comisiones del Instituto Racionalizador Argentino de Materiales que traten temas de higiene y seguridad en el trabajo.</w:t>
      </w:r>
    </w:p>
    <w:p w:rsidR="008F5C6A" w:rsidRDefault="00AE4B32" w:rsidP="00615C54">
      <w:pPr>
        <w:jc w:val="both"/>
      </w:pPr>
      <w:r>
        <w:t xml:space="preserve"> Art. 24. — (Reglamentario del artículo 31, punto 1, inciso e) de la Ley Nº 24.557) — Las aseguradoras deberán informar a los interesados la red de establecimientos para la atención </w:t>
      </w:r>
      <w:r>
        <w:lastRenderedPageBreak/>
        <w:t xml:space="preserve">médica y hospitalaria, así como los cambios en las materias consideradas en el inciso que se reglamenta de la Ley sobre Riesgos del Trabajo y el presente artículo, que se encuentren previstos o sometidos a consideración de la Superintendencia de Riesgos del Trabajo. </w:t>
      </w:r>
    </w:p>
    <w:p w:rsidR="008F5C6A" w:rsidRDefault="00AE4B32" w:rsidP="00615C54">
      <w:pPr>
        <w:jc w:val="both"/>
      </w:pPr>
      <w:r>
        <w:t xml:space="preserve">Art. 25. — (Reglamentario del artículo 31, punto 1, inciso g) de la Ley Nº 24.557) — La prohibición de realizar exámenes psicofísicos a los trabajadores con carácter previo a la contratación implica también la prohibición de exigir la previa exhibición de los exámenes preexistentes. Sin perjuicio de ello, las aseguradoras podrán requerir información acerca del grado de cumplimiento de esta obligación legal. </w:t>
      </w:r>
    </w:p>
    <w:p w:rsidR="008F5C6A" w:rsidRDefault="00AE4B32" w:rsidP="00615C54">
      <w:pPr>
        <w:jc w:val="both"/>
      </w:pPr>
      <w:r>
        <w:t xml:space="preserve">Art. 26. — Las aseguradoras serán auditadas técnicamente por la Superintendencia de Riesgos del Trabajo, respecto de las obligaciones que les impone la Ley sobre Riesgos del Trabajo y el presente Decreto. </w:t>
      </w:r>
    </w:p>
    <w:p w:rsidR="008F5C6A" w:rsidRDefault="00AE4B32" w:rsidP="00615C54">
      <w:pPr>
        <w:jc w:val="both"/>
      </w:pPr>
      <w:r>
        <w:t>Art. 27. — Los exámenes médicos previstos en el artículo 23 del Decreto 351/79 serán realizados por la aseguradora con la que contrate el empleador. Dichos exámenes serán sin cargo para el empleador, a excepción de los exámenes preocupacionales de trabajadores que no se incorporen a la empresa, o que habiéndose incorporado permanezcan bajo la dependencia del empleador por un período inferior a TRES (3) meses.</w:t>
      </w:r>
    </w:p>
    <w:p w:rsidR="008F5C6A" w:rsidRDefault="00AE4B32" w:rsidP="00615C54">
      <w:pPr>
        <w:jc w:val="both"/>
      </w:pPr>
      <w:r>
        <w:t xml:space="preserve"> Art. 28. — (Reglamentario del artículo 31, punto 2 de la Ley Nº 24.557) — Los empleadores estarán obligados a: </w:t>
      </w:r>
    </w:p>
    <w:p w:rsidR="008F5C6A" w:rsidRDefault="00AE4B32" w:rsidP="00615C54">
      <w:pPr>
        <w:jc w:val="both"/>
      </w:pPr>
      <w:r>
        <w:t xml:space="preserve">a) Permitir el ingreso a su establecimiento, dentro de los horarios de trabajo y sin necesidad de previa notificación, del personal destacado por las aseguradoras, cuando concurra en cumplimiento de las funciones previstas en la Ley sobre Riesgos del Trabajo y en el contrato de afiliación suscripto. </w:t>
      </w:r>
    </w:p>
    <w:p w:rsidR="008F5C6A" w:rsidRDefault="00AE4B32" w:rsidP="00615C54">
      <w:pPr>
        <w:jc w:val="both"/>
      </w:pPr>
      <w:r>
        <w:t xml:space="preserve">b) Suministrar a las aseguradoras la información necesaria para evaluar, desarrollar y controlar el Plan de Mejoramiento. </w:t>
      </w:r>
    </w:p>
    <w:p w:rsidR="008F5C6A" w:rsidRDefault="00AE4B32" w:rsidP="00615C54">
      <w:pPr>
        <w:jc w:val="both"/>
      </w:pPr>
      <w:r>
        <w:t>c) Cumplir el programa de capacitación acordado con la aseguradora.</w:t>
      </w:r>
    </w:p>
    <w:p w:rsidR="008F5C6A" w:rsidRDefault="00AE4B32" w:rsidP="00615C54">
      <w:pPr>
        <w:jc w:val="both"/>
      </w:pPr>
      <w:r>
        <w:t xml:space="preserve"> d) Poner en conocimiento de los trabajadores el Plan de Mejoramiento. </w:t>
      </w:r>
    </w:p>
    <w:p w:rsidR="008F5C6A" w:rsidRDefault="00AE4B32" w:rsidP="00615C54">
      <w:pPr>
        <w:jc w:val="both"/>
      </w:pPr>
      <w:r>
        <w:t xml:space="preserve">e) Brindar adecuada capacitación a los trabajadores respecto de los riesgos inherentes a sus puestos de trabajo. </w:t>
      </w:r>
    </w:p>
    <w:p w:rsidR="008F5C6A" w:rsidRDefault="00AE4B32" w:rsidP="00615C54">
      <w:pPr>
        <w:jc w:val="both"/>
      </w:pPr>
      <w:r>
        <w:t>f) Cumplir con los planes acordados con las aseguradoras y con las actividades programadas para prevenir los riesgos del trabajo.</w:t>
      </w:r>
    </w:p>
    <w:p w:rsidR="008F5C6A" w:rsidRDefault="00AE4B32" w:rsidP="00615C54">
      <w:pPr>
        <w:jc w:val="both"/>
      </w:pPr>
      <w:r>
        <w:t xml:space="preserve"> g) Proveer a la aseguradora toda la información que requiera a los fines de la determinación de un accidente de trabajo o de una enfermedad profesional. </w:t>
      </w:r>
    </w:p>
    <w:p w:rsidR="008F5C6A" w:rsidRDefault="00AE4B32" w:rsidP="00615C54">
      <w:pPr>
        <w:jc w:val="both"/>
      </w:pPr>
      <w:r>
        <w:t xml:space="preserve">h) Cumplir toda otra obligación que establezca la Superintendencia de Riesgos del Trabajo. </w:t>
      </w:r>
    </w:p>
    <w:p w:rsidR="008F5C6A" w:rsidRDefault="00AE4B32" w:rsidP="00615C54">
      <w:pPr>
        <w:jc w:val="both"/>
      </w:pPr>
      <w:r>
        <w:lastRenderedPageBreak/>
        <w:t xml:space="preserve">Art. 29. — En caso de omisión o incumplimiento de la aseguradora de las obligaciones previstas en la Ley sobre Riesgos del Trabajo, el empleador deberá intimarla fehacientemente dentro de los TREINTA (30) días corridos de haberse producido el hecho. Transcurrido dicho plazo sin que se hubiera regularizado la situación el empleador deberá notificar el hecho a la Superintendencia de Riesgos del Trabajo. </w:t>
      </w:r>
    </w:p>
    <w:p w:rsidR="008F5C6A" w:rsidRDefault="00AE4B32" w:rsidP="00615C54">
      <w:pPr>
        <w:jc w:val="both"/>
      </w:pPr>
      <w:r>
        <w:t xml:space="preserve">Art. 30. — (Reglamentario del artículo 31, punto 3 de la Ley Nº 24.557) — Los trabajadores tendrán las siguientes obligaciones: </w:t>
      </w:r>
    </w:p>
    <w:p w:rsidR="008F5C6A" w:rsidRDefault="00AE4B32" w:rsidP="00615C54">
      <w:pPr>
        <w:jc w:val="both"/>
      </w:pPr>
      <w:r>
        <w:t xml:space="preserve">a) Cumplir con las normas de prevención establecidas legalmente y en los planes y programas de prevención. </w:t>
      </w:r>
    </w:p>
    <w:p w:rsidR="008F5C6A" w:rsidRDefault="00AE4B32" w:rsidP="00615C54">
      <w:pPr>
        <w:jc w:val="both"/>
      </w:pPr>
      <w:r>
        <w:t xml:space="preserve">b) Asistir a los cursos de capacitación que se dicten durante las horas de trabajo. </w:t>
      </w:r>
    </w:p>
    <w:p w:rsidR="008F5C6A" w:rsidRDefault="00AE4B32" w:rsidP="00615C54">
      <w:pPr>
        <w:jc w:val="both"/>
      </w:pPr>
      <w:r>
        <w:t xml:space="preserve">c) Utilizar los equipos de protección personal o colectiva y observar las medidas de protección impartidas en los cursos de capacitación. </w:t>
      </w:r>
    </w:p>
    <w:p w:rsidR="008F5C6A" w:rsidRDefault="00AE4B32" w:rsidP="00615C54">
      <w:pPr>
        <w:jc w:val="both"/>
      </w:pPr>
      <w:r>
        <w:t xml:space="preserve">d) Utilizar o manipular en forma correcta y segura las sustancias, máquinas, herramientas, dispositivos y cualquier otro medio con que desarrollen su actividad laboral. </w:t>
      </w:r>
    </w:p>
    <w:p w:rsidR="008F5C6A" w:rsidRDefault="00AE4B32" w:rsidP="00615C54">
      <w:pPr>
        <w:jc w:val="both"/>
      </w:pPr>
      <w:r>
        <w:t xml:space="preserve">e) Observar las indicaciones de los carteles y avisos que indiquen medidas de protección y colaborar con el empleador en el cuidado de los mismos. </w:t>
      </w:r>
    </w:p>
    <w:p w:rsidR="008F5C6A" w:rsidRDefault="00AE4B32" w:rsidP="00615C54">
      <w:pPr>
        <w:jc w:val="both"/>
      </w:pPr>
      <w:r>
        <w:t xml:space="preserve">f) Colaborar en la organización de programas de formación y educación en materia de salud y seguridad. </w:t>
      </w:r>
    </w:p>
    <w:p w:rsidR="008F5C6A" w:rsidRDefault="00AE4B32" w:rsidP="00615C54">
      <w:pPr>
        <w:jc w:val="both"/>
      </w:pPr>
      <w:r>
        <w:t xml:space="preserve">g) Informar al empleador de todo hecho o circunstancia riesgosa inherente a sus puestos de trabajo y al establecimiento en general. </w:t>
      </w:r>
    </w:p>
    <w:p w:rsidR="008F5C6A" w:rsidRDefault="00AE4B32" w:rsidP="00615C54">
      <w:pPr>
        <w:jc w:val="both"/>
      </w:pPr>
      <w:r>
        <w:t xml:space="preserve">Art. 31. — Los trabajadores o sus representantes podrán denunciar ante la aseguradora, si correspondiere, o ante la Superintendencia de Riesgos del Trabajo los incumplimientos al Plan de Mejoramiento en los que incurra el empleador y las violaciones a las normas de higiene y seguridad en el trabajo que se produzcan en el establecimiento. Esta facultad no podrá ser ejercida mientras el empleador afiliado a una aseguradora se encuentre cumpliendo las disposiciones relacionadas con el Plan de Mejoramiento, con excepción de las denuncias relativas a la existencia de riesgos graves e inminentes. </w:t>
      </w:r>
    </w:p>
    <w:p w:rsidR="008F5C6A" w:rsidRDefault="00AE4B32" w:rsidP="00615C54">
      <w:pPr>
        <w:jc w:val="both"/>
      </w:pPr>
      <w:r>
        <w:t xml:space="preserve">Art. 32. — Las obligaciones establecidas en el artículo 31 puntos 2 y 3 de la Ley sobre Riesgos del Trabajo y en el presente título serán de aplicación a los empleadores autoasegurados y a los trabajadores de su dependencia en lo que resulte pertinente. Los empleadores autoasegurados en particular deberán: </w:t>
      </w:r>
    </w:p>
    <w:p w:rsidR="008F5C6A" w:rsidRDefault="00AE4B32" w:rsidP="00615C54">
      <w:pPr>
        <w:jc w:val="both"/>
      </w:pPr>
      <w:r>
        <w:t xml:space="preserve">a) Cumplir con las normas de higiene y seguridad en el trabajo. </w:t>
      </w:r>
    </w:p>
    <w:p w:rsidR="008F5C6A" w:rsidRDefault="00AE4B32" w:rsidP="00615C54">
      <w:pPr>
        <w:jc w:val="both"/>
      </w:pPr>
      <w:r>
        <w:t xml:space="preserve">b) Confeccionar el registro de siniestralidad por establecimiento. </w:t>
      </w:r>
    </w:p>
    <w:p w:rsidR="008F5C6A" w:rsidRDefault="00AE4B32" w:rsidP="00615C54">
      <w:pPr>
        <w:jc w:val="both"/>
      </w:pPr>
      <w:r>
        <w:lastRenderedPageBreak/>
        <w:t xml:space="preserve">c) Notificar a la Superintendencia de Riesgos del Trabajo los accidentes y enfermedades profesionales que se produzcan en el establecimiento. </w:t>
      </w:r>
    </w:p>
    <w:p w:rsidR="008F5C6A" w:rsidRDefault="00AE4B32" w:rsidP="00615C54">
      <w:pPr>
        <w:jc w:val="both"/>
      </w:pPr>
      <w:r>
        <w:t xml:space="preserve">d) Cumplir toda otra obligación que establezca la Superintendencia de Riesgos del Trabajo. </w:t>
      </w:r>
    </w:p>
    <w:p w:rsidR="008F5C6A" w:rsidRDefault="00AE4B32" w:rsidP="00615C54">
      <w:pPr>
        <w:jc w:val="both"/>
      </w:pPr>
      <w:r>
        <w:t xml:space="preserve">Art. 33. — Comuníquese, publíquese, dése a la Dirección Nacional del Registro Oficial y archívese. </w:t>
      </w:r>
    </w:p>
    <w:p w:rsidR="00615C54" w:rsidRPr="005726B4" w:rsidRDefault="00AE4B32" w:rsidP="00615C54">
      <w:pPr>
        <w:jc w:val="both"/>
      </w:pPr>
      <w:r>
        <w:t>— MENEM. — Eduardo Bauzá. — José A. Caro Figueroa. — Rodolfo C. Barra.</w:t>
      </w:r>
    </w:p>
    <w:sectPr w:rsidR="00615C54" w:rsidRPr="005726B4" w:rsidSect="00120392">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8EE" w:rsidRDefault="001D78EE" w:rsidP="00120392">
      <w:pPr>
        <w:spacing w:after="0" w:line="240" w:lineRule="auto"/>
      </w:pPr>
      <w:r>
        <w:separator/>
      </w:r>
    </w:p>
  </w:endnote>
  <w:endnote w:type="continuationSeparator" w:id="1">
    <w:p w:rsidR="001D78EE" w:rsidRDefault="001D78EE" w:rsidP="00120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8EE" w:rsidRDefault="001D78EE" w:rsidP="00120392">
      <w:pPr>
        <w:spacing w:after="0" w:line="240" w:lineRule="auto"/>
      </w:pPr>
      <w:r>
        <w:separator/>
      </w:r>
    </w:p>
  </w:footnote>
  <w:footnote w:type="continuationSeparator" w:id="1">
    <w:p w:rsidR="001D78EE" w:rsidRDefault="001D78EE" w:rsidP="00120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9555A3">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0328" o:spid="_x0000_s2050" type="#_x0000_t75" style="position:absolute;margin-left:0;margin-top:0;width:441.8pt;height:139.8pt;z-index:-251657216;mso-position-horizontal:center;mso-position-horizontal-relative:margin;mso-position-vertical:center;mso-position-vertical-relative:margin" o:allowincell="f">
          <v:imagedata r:id="rId1" o:title="logo PSS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9555A3">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0329" o:spid="_x0000_s2051" type="#_x0000_t75" style="position:absolute;margin-left:0;margin-top:0;width:441.8pt;height:139.8pt;z-index:-251656192;mso-position-horizontal:center;mso-position-horizontal-relative:margin;mso-position-vertical:center;mso-position-vertical-relative:margin" o:allowincell="f">
          <v:imagedata r:id="rId1" o:title="logo PSST"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9555A3">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0327" o:spid="_x0000_s2049" type="#_x0000_t75" style="position:absolute;margin-left:0;margin-top:0;width:441.8pt;height:139.8pt;z-index:-251658240;mso-position-horizontal:center;mso-position-horizontal-relative:margin;mso-position-vertical:center;mso-position-vertical-relative:margin" o:allowincell="f">
          <v:imagedata r:id="rId1" o:title="logo PSST"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120392"/>
    <w:rsid w:val="000E464C"/>
    <w:rsid w:val="00120392"/>
    <w:rsid w:val="00150A66"/>
    <w:rsid w:val="0019581E"/>
    <w:rsid w:val="001D78EE"/>
    <w:rsid w:val="00280727"/>
    <w:rsid w:val="002F4CB1"/>
    <w:rsid w:val="0034109D"/>
    <w:rsid w:val="005726B4"/>
    <w:rsid w:val="005D5027"/>
    <w:rsid w:val="00615C54"/>
    <w:rsid w:val="00653305"/>
    <w:rsid w:val="00653BD9"/>
    <w:rsid w:val="0067585A"/>
    <w:rsid w:val="00822007"/>
    <w:rsid w:val="00850403"/>
    <w:rsid w:val="008D7D4B"/>
    <w:rsid w:val="008E5BED"/>
    <w:rsid w:val="008F5C6A"/>
    <w:rsid w:val="009555A3"/>
    <w:rsid w:val="00AC1318"/>
    <w:rsid w:val="00AE4B32"/>
    <w:rsid w:val="00B0794D"/>
    <w:rsid w:val="00B15C05"/>
    <w:rsid w:val="00B95E82"/>
    <w:rsid w:val="00C21BED"/>
    <w:rsid w:val="00CD16D0"/>
    <w:rsid w:val="00D86F91"/>
    <w:rsid w:val="00FC2066"/>
    <w:rsid w:val="00FC5FB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203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20392"/>
  </w:style>
  <w:style w:type="paragraph" w:styleId="Piedepgina">
    <w:name w:val="footer"/>
    <w:basedOn w:val="Normal"/>
    <w:link w:val="PiedepginaCar"/>
    <w:uiPriority w:val="99"/>
    <w:semiHidden/>
    <w:unhideWhenUsed/>
    <w:rsid w:val="001203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20392"/>
  </w:style>
  <w:style w:type="paragraph" w:styleId="NormalWeb">
    <w:name w:val="Normal (Web)"/>
    <w:basedOn w:val="Normal"/>
    <w:uiPriority w:val="99"/>
    <w:unhideWhenUsed/>
    <w:rsid w:val="00B15C0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B15C05"/>
  </w:style>
  <w:style w:type="character" w:styleId="Hipervnculo">
    <w:name w:val="Hyperlink"/>
    <w:basedOn w:val="Fuentedeprrafopredeter"/>
    <w:uiPriority w:val="99"/>
    <w:semiHidden/>
    <w:unhideWhenUsed/>
    <w:rsid w:val="0034109D"/>
    <w:rPr>
      <w:color w:val="0000FF"/>
      <w:u w:val="single"/>
    </w:rPr>
  </w:style>
  <w:style w:type="paragraph" w:styleId="Textodeglobo">
    <w:name w:val="Balloon Text"/>
    <w:basedOn w:val="Normal"/>
    <w:link w:val="TextodegloboCar"/>
    <w:uiPriority w:val="99"/>
    <w:semiHidden/>
    <w:unhideWhenUsed/>
    <w:rsid w:val="000E46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64C"/>
    <w:rPr>
      <w:rFonts w:ascii="Tahoma" w:hAnsi="Tahoma" w:cs="Tahoma"/>
      <w:sz w:val="16"/>
      <w:szCs w:val="16"/>
    </w:rPr>
  </w:style>
  <w:style w:type="paragraph" w:styleId="Prrafodelista">
    <w:name w:val="List Paragraph"/>
    <w:basedOn w:val="Normal"/>
    <w:uiPriority w:val="34"/>
    <w:qFormat/>
    <w:rsid w:val="00850403"/>
    <w:pPr>
      <w:ind w:left="720"/>
      <w:contextualSpacing/>
    </w:pPr>
  </w:style>
</w:styles>
</file>

<file path=word/webSettings.xml><?xml version="1.0" encoding="utf-8"?>
<w:webSettings xmlns:r="http://schemas.openxmlformats.org/officeDocument/2006/relationships" xmlns:w="http://schemas.openxmlformats.org/wordprocessingml/2006/main">
  <w:divs>
    <w:div w:id="8680948">
      <w:bodyDiv w:val="1"/>
      <w:marLeft w:val="0"/>
      <w:marRight w:val="0"/>
      <w:marTop w:val="0"/>
      <w:marBottom w:val="0"/>
      <w:divBdr>
        <w:top w:val="none" w:sz="0" w:space="0" w:color="auto"/>
        <w:left w:val="none" w:sz="0" w:space="0" w:color="auto"/>
        <w:bottom w:val="none" w:sz="0" w:space="0" w:color="auto"/>
        <w:right w:val="none" w:sz="0" w:space="0" w:color="auto"/>
      </w:divBdr>
    </w:div>
    <w:div w:id="13119384">
      <w:bodyDiv w:val="1"/>
      <w:marLeft w:val="0"/>
      <w:marRight w:val="0"/>
      <w:marTop w:val="0"/>
      <w:marBottom w:val="0"/>
      <w:divBdr>
        <w:top w:val="none" w:sz="0" w:space="0" w:color="auto"/>
        <w:left w:val="none" w:sz="0" w:space="0" w:color="auto"/>
        <w:bottom w:val="none" w:sz="0" w:space="0" w:color="auto"/>
        <w:right w:val="none" w:sz="0" w:space="0" w:color="auto"/>
      </w:divBdr>
    </w:div>
    <w:div w:id="45221592">
      <w:bodyDiv w:val="1"/>
      <w:marLeft w:val="0"/>
      <w:marRight w:val="0"/>
      <w:marTop w:val="0"/>
      <w:marBottom w:val="0"/>
      <w:divBdr>
        <w:top w:val="none" w:sz="0" w:space="0" w:color="auto"/>
        <w:left w:val="none" w:sz="0" w:space="0" w:color="auto"/>
        <w:bottom w:val="none" w:sz="0" w:space="0" w:color="auto"/>
        <w:right w:val="none" w:sz="0" w:space="0" w:color="auto"/>
      </w:divBdr>
    </w:div>
    <w:div w:id="91249776">
      <w:bodyDiv w:val="1"/>
      <w:marLeft w:val="0"/>
      <w:marRight w:val="0"/>
      <w:marTop w:val="0"/>
      <w:marBottom w:val="0"/>
      <w:divBdr>
        <w:top w:val="none" w:sz="0" w:space="0" w:color="auto"/>
        <w:left w:val="none" w:sz="0" w:space="0" w:color="auto"/>
        <w:bottom w:val="none" w:sz="0" w:space="0" w:color="auto"/>
        <w:right w:val="none" w:sz="0" w:space="0" w:color="auto"/>
      </w:divBdr>
    </w:div>
    <w:div w:id="139032860">
      <w:bodyDiv w:val="1"/>
      <w:marLeft w:val="0"/>
      <w:marRight w:val="0"/>
      <w:marTop w:val="0"/>
      <w:marBottom w:val="0"/>
      <w:divBdr>
        <w:top w:val="none" w:sz="0" w:space="0" w:color="auto"/>
        <w:left w:val="none" w:sz="0" w:space="0" w:color="auto"/>
        <w:bottom w:val="none" w:sz="0" w:space="0" w:color="auto"/>
        <w:right w:val="none" w:sz="0" w:space="0" w:color="auto"/>
      </w:divBdr>
    </w:div>
    <w:div w:id="146558871">
      <w:bodyDiv w:val="1"/>
      <w:marLeft w:val="0"/>
      <w:marRight w:val="0"/>
      <w:marTop w:val="0"/>
      <w:marBottom w:val="0"/>
      <w:divBdr>
        <w:top w:val="none" w:sz="0" w:space="0" w:color="auto"/>
        <w:left w:val="none" w:sz="0" w:space="0" w:color="auto"/>
        <w:bottom w:val="none" w:sz="0" w:space="0" w:color="auto"/>
        <w:right w:val="none" w:sz="0" w:space="0" w:color="auto"/>
      </w:divBdr>
    </w:div>
    <w:div w:id="161942294">
      <w:bodyDiv w:val="1"/>
      <w:marLeft w:val="0"/>
      <w:marRight w:val="0"/>
      <w:marTop w:val="0"/>
      <w:marBottom w:val="0"/>
      <w:divBdr>
        <w:top w:val="none" w:sz="0" w:space="0" w:color="auto"/>
        <w:left w:val="none" w:sz="0" w:space="0" w:color="auto"/>
        <w:bottom w:val="none" w:sz="0" w:space="0" w:color="auto"/>
        <w:right w:val="none" w:sz="0" w:space="0" w:color="auto"/>
      </w:divBdr>
    </w:div>
    <w:div w:id="190270087">
      <w:bodyDiv w:val="1"/>
      <w:marLeft w:val="0"/>
      <w:marRight w:val="0"/>
      <w:marTop w:val="0"/>
      <w:marBottom w:val="0"/>
      <w:divBdr>
        <w:top w:val="none" w:sz="0" w:space="0" w:color="auto"/>
        <w:left w:val="none" w:sz="0" w:space="0" w:color="auto"/>
        <w:bottom w:val="none" w:sz="0" w:space="0" w:color="auto"/>
        <w:right w:val="none" w:sz="0" w:space="0" w:color="auto"/>
      </w:divBdr>
    </w:div>
    <w:div w:id="204564473">
      <w:bodyDiv w:val="1"/>
      <w:marLeft w:val="0"/>
      <w:marRight w:val="0"/>
      <w:marTop w:val="0"/>
      <w:marBottom w:val="0"/>
      <w:divBdr>
        <w:top w:val="none" w:sz="0" w:space="0" w:color="auto"/>
        <w:left w:val="none" w:sz="0" w:space="0" w:color="auto"/>
        <w:bottom w:val="none" w:sz="0" w:space="0" w:color="auto"/>
        <w:right w:val="none" w:sz="0" w:space="0" w:color="auto"/>
      </w:divBdr>
    </w:div>
    <w:div w:id="229997251">
      <w:bodyDiv w:val="1"/>
      <w:marLeft w:val="0"/>
      <w:marRight w:val="0"/>
      <w:marTop w:val="0"/>
      <w:marBottom w:val="0"/>
      <w:divBdr>
        <w:top w:val="none" w:sz="0" w:space="0" w:color="auto"/>
        <w:left w:val="none" w:sz="0" w:space="0" w:color="auto"/>
        <w:bottom w:val="none" w:sz="0" w:space="0" w:color="auto"/>
        <w:right w:val="none" w:sz="0" w:space="0" w:color="auto"/>
      </w:divBdr>
    </w:div>
    <w:div w:id="233664382">
      <w:bodyDiv w:val="1"/>
      <w:marLeft w:val="0"/>
      <w:marRight w:val="0"/>
      <w:marTop w:val="0"/>
      <w:marBottom w:val="0"/>
      <w:divBdr>
        <w:top w:val="none" w:sz="0" w:space="0" w:color="auto"/>
        <w:left w:val="none" w:sz="0" w:space="0" w:color="auto"/>
        <w:bottom w:val="none" w:sz="0" w:space="0" w:color="auto"/>
        <w:right w:val="none" w:sz="0" w:space="0" w:color="auto"/>
      </w:divBdr>
    </w:div>
    <w:div w:id="236788369">
      <w:bodyDiv w:val="1"/>
      <w:marLeft w:val="0"/>
      <w:marRight w:val="0"/>
      <w:marTop w:val="0"/>
      <w:marBottom w:val="0"/>
      <w:divBdr>
        <w:top w:val="none" w:sz="0" w:space="0" w:color="auto"/>
        <w:left w:val="none" w:sz="0" w:space="0" w:color="auto"/>
        <w:bottom w:val="none" w:sz="0" w:space="0" w:color="auto"/>
        <w:right w:val="none" w:sz="0" w:space="0" w:color="auto"/>
      </w:divBdr>
    </w:div>
    <w:div w:id="296842742">
      <w:bodyDiv w:val="1"/>
      <w:marLeft w:val="0"/>
      <w:marRight w:val="0"/>
      <w:marTop w:val="0"/>
      <w:marBottom w:val="0"/>
      <w:divBdr>
        <w:top w:val="none" w:sz="0" w:space="0" w:color="auto"/>
        <w:left w:val="none" w:sz="0" w:space="0" w:color="auto"/>
        <w:bottom w:val="none" w:sz="0" w:space="0" w:color="auto"/>
        <w:right w:val="none" w:sz="0" w:space="0" w:color="auto"/>
      </w:divBdr>
    </w:div>
    <w:div w:id="299725171">
      <w:bodyDiv w:val="1"/>
      <w:marLeft w:val="0"/>
      <w:marRight w:val="0"/>
      <w:marTop w:val="0"/>
      <w:marBottom w:val="0"/>
      <w:divBdr>
        <w:top w:val="none" w:sz="0" w:space="0" w:color="auto"/>
        <w:left w:val="none" w:sz="0" w:space="0" w:color="auto"/>
        <w:bottom w:val="none" w:sz="0" w:space="0" w:color="auto"/>
        <w:right w:val="none" w:sz="0" w:space="0" w:color="auto"/>
      </w:divBdr>
    </w:div>
    <w:div w:id="300769092">
      <w:bodyDiv w:val="1"/>
      <w:marLeft w:val="0"/>
      <w:marRight w:val="0"/>
      <w:marTop w:val="0"/>
      <w:marBottom w:val="0"/>
      <w:divBdr>
        <w:top w:val="none" w:sz="0" w:space="0" w:color="auto"/>
        <w:left w:val="none" w:sz="0" w:space="0" w:color="auto"/>
        <w:bottom w:val="none" w:sz="0" w:space="0" w:color="auto"/>
        <w:right w:val="none" w:sz="0" w:space="0" w:color="auto"/>
      </w:divBdr>
    </w:div>
    <w:div w:id="306473153">
      <w:bodyDiv w:val="1"/>
      <w:marLeft w:val="0"/>
      <w:marRight w:val="0"/>
      <w:marTop w:val="0"/>
      <w:marBottom w:val="0"/>
      <w:divBdr>
        <w:top w:val="none" w:sz="0" w:space="0" w:color="auto"/>
        <w:left w:val="none" w:sz="0" w:space="0" w:color="auto"/>
        <w:bottom w:val="none" w:sz="0" w:space="0" w:color="auto"/>
        <w:right w:val="none" w:sz="0" w:space="0" w:color="auto"/>
      </w:divBdr>
    </w:div>
    <w:div w:id="438186139">
      <w:bodyDiv w:val="1"/>
      <w:marLeft w:val="0"/>
      <w:marRight w:val="0"/>
      <w:marTop w:val="0"/>
      <w:marBottom w:val="0"/>
      <w:divBdr>
        <w:top w:val="none" w:sz="0" w:space="0" w:color="auto"/>
        <w:left w:val="none" w:sz="0" w:space="0" w:color="auto"/>
        <w:bottom w:val="none" w:sz="0" w:space="0" w:color="auto"/>
        <w:right w:val="none" w:sz="0" w:space="0" w:color="auto"/>
      </w:divBdr>
    </w:div>
    <w:div w:id="490949433">
      <w:bodyDiv w:val="1"/>
      <w:marLeft w:val="0"/>
      <w:marRight w:val="0"/>
      <w:marTop w:val="0"/>
      <w:marBottom w:val="0"/>
      <w:divBdr>
        <w:top w:val="none" w:sz="0" w:space="0" w:color="auto"/>
        <w:left w:val="none" w:sz="0" w:space="0" w:color="auto"/>
        <w:bottom w:val="none" w:sz="0" w:space="0" w:color="auto"/>
        <w:right w:val="none" w:sz="0" w:space="0" w:color="auto"/>
      </w:divBdr>
    </w:div>
    <w:div w:id="516968270">
      <w:bodyDiv w:val="1"/>
      <w:marLeft w:val="0"/>
      <w:marRight w:val="0"/>
      <w:marTop w:val="0"/>
      <w:marBottom w:val="0"/>
      <w:divBdr>
        <w:top w:val="none" w:sz="0" w:space="0" w:color="auto"/>
        <w:left w:val="none" w:sz="0" w:space="0" w:color="auto"/>
        <w:bottom w:val="none" w:sz="0" w:space="0" w:color="auto"/>
        <w:right w:val="none" w:sz="0" w:space="0" w:color="auto"/>
      </w:divBdr>
    </w:div>
    <w:div w:id="537351368">
      <w:bodyDiv w:val="1"/>
      <w:marLeft w:val="0"/>
      <w:marRight w:val="0"/>
      <w:marTop w:val="0"/>
      <w:marBottom w:val="0"/>
      <w:divBdr>
        <w:top w:val="none" w:sz="0" w:space="0" w:color="auto"/>
        <w:left w:val="none" w:sz="0" w:space="0" w:color="auto"/>
        <w:bottom w:val="none" w:sz="0" w:space="0" w:color="auto"/>
        <w:right w:val="none" w:sz="0" w:space="0" w:color="auto"/>
      </w:divBdr>
    </w:div>
    <w:div w:id="547644708">
      <w:bodyDiv w:val="1"/>
      <w:marLeft w:val="0"/>
      <w:marRight w:val="0"/>
      <w:marTop w:val="0"/>
      <w:marBottom w:val="0"/>
      <w:divBdr>
        <w:top w:val="none" w:sz="0" w:space="0" w:color="auto"/>
        <w:left w:val="none" w:sz="0" w:space="0" w:color="auto"/>
        <w:bottom w:val="none" w:sz="0" w:space="0" w:color="auto"/>
        <w:right w:val="none" w:sz="0" w:space="0" w:color="auto"/>
      </w:divBdr>
    </w:div>
    <w:div w:id="590549155">
      <w:bodyDiv w:val="1"/>
      <w:marLeft w:val="0"/>
      <w:marRight w:val="0"/>
      <w:marTop w:val="0"/>
      <w:marBottom w:val="0"/>
      <w:divBdr>
        <w:top w:val="none" w:sz="0" w:space="0" w:color="auto"/>
        <w:left w:val="none" w:sz="0" w:space="0" w:color="auto"/>
        <w:bottom w:val="none" w:sz="0" w:space="0" w:color="auto"/>
        <w:right w:val="none" w:sz="0" w:space="0" w:color="auto"/>
      </w:divBdr>
    </w:div>
    <w:div w:id="647973350">
      <w:bodyDiv w:val="1"/>
      <w:marLeft w:val="0"/>
      <w:marRight w:val="0"/>
      <w:marTop w:val="0"/>
      <w:marBottom w:val="0"/>
      <w:divBdr>
        <w:top w:val="none" w:sz="0" w:space="0" w:color="auto"/>
        <w:left w:val="none" w:sz="0" w:space="0" w:color="auto"/>
        <w:bottom w:val="none" w:sz="0" w:space="0" w:color="auto"/>
        <w:right w:val="none" w:sz="0" w:space="0" w:color="auto"/>
      </w:divBdr>
    </w:div>
    <w:div w:id="665977618">
      <w:bodyDiv w:val="1"/>
      <w:marLeft w:val="0"/>
      <w:marRight w:val="0"/>
      <w:marTop w:val="0"/>
      <w:marBottom w:val="0"/>
      <w:divBdr>
        <w:top w:val="none" w:sz="0" w:space="0" w:color="auto"/>
        <w:left w:val="none" w:sz="0" w:space="0" w:color="auto"/>
        <w:bottom w:val="none" w:sz="0" w:space="0" w:color="auto"/>
        <w:right w:val="none" w:sz="0" w:space="0" w:color="auto"/>
      </w:divBdr>
    </w:div>
    <w:div w:id="867448099">
      <w:bodyDiv w:val="1"/>
      <w:marLeft w:val="0"/>
      <w:marRight w:val="0"/>
      <w:marTop w:val="0"/>
      <w:marBottom w:val="0"/>
      <w:divBdr>
        <w:top w:val="none" w:sz="0" w:space="0" w:color="auto"/>
        <w:left w:val="none" w:sz="0" w:space="0" w:color="auto"/>
        <w:bottom w:val="none" w:sz="0" w:space="0" w:color="auto"/>
        <w:right w:val="none" w:sz="0" w:space="0" w:color="auto"/>
      </w:divBdr>
    </w:div>
    <w:div w:id="885069549">
      <w:bodyDiv w:val="1"/>
      <w:marLeft w:val="0"/>
      <w:marRight w:val="0"/>
      <w:marTop w:val="0"/>
      <w:marBottom w:val="0"/>
      <w:divBdr>
        <w:top w:val="none" w:sz="0" w:space="0" w:color="auto"/>
        <w:left w:val="none" w:sz="0" w:space="0" w:color="auto"/>
        <w:bottom w:val="none" w:sz="0" w:space="0" w:color="auto"/>
        <w:right w:val="none" w:sz="0" w:space="0" w:color="auto"/>
      </w:divBdr>
    </w:div>
    <w:div w:id="900750810">
      <w:bodyDiv w:val="1"/>
      <w:marLeft w:val="0"/>
      <w:marRight w:val="0"/>
      <w:marTop w:val="0"/>
      <w:marBottom w:val="0"/>
      <w:divBdr>
        <w:top w:val="none" w:sz="0" w:space="0" w:color="auto"/>
        <w:left w:val="none" w:sz="0" w:space="0" w:color="auto"/>
        <w:bottom w:val="none" w:sz="0" w:space="0" w:color="auto"/>
        <w:right w:val="none" w:sz="0" w:space="0" w:color="auto"/>
      </w:divBdr>
    </w:div>
    <w:div w:id="907351256">
      <w:bodyDiv w:val="1"/>
      <w:marLeft w:val="0"/>
      <w:marRight w:val="0"/>
      <w:marTop w:val="0"/>
      <w:marBottom w:val="0"/>
      <w:divBdr>
        <w:top w:val="none" w:sz="0" w:space="0" w:color="auto"/>
        <w:left w:val="none" w:sz="0" w:space="0" w:color="auto"/>
        <w:bottom w:val="none" w:sz="0" w:space="0" w:color="auto"/>
        <w:right w:val="none" w:sz="0" w:space="0" w:color="auto"/>
      </w:divBdr>
    </w:div>
    <w:div w:id="946889960">
      <w:bodyDiv w:val="1"/>
      <w:marLeft w:val="0"/>
      <w:marRight w:val="0"/>
      <w:marTop w:val="0"/>
      <w:marBottom w:val="0"/>
      <w:divBdr>
        <w:top w:val="none" w:sz="0" w:space="0" w:color="auto"/>
        <w:left w:val="none" w:sz="0" w:space="0" w:color="auto"/>
        <w:bottom w:val="none" w:sz="0" w:space="0" w:color="auto"/>
        <w:right w:val="none" w:sz="0" w:space="0" w:color="auto"/>
      </w:divBdr>
    </w:div>
    <w:div w:id="948774458">
      <w:bodyDiv w:val="1"/>
      <w:marLeft w:val="0"/>
      <w:marRight w:val="0"/>
      <w:marTop w:val="0"/>
      <w:marBottom w:val="0"/>
      <w:divBdr>
        <w:top w:val="none" w:sz="0" w:space="0" w:color="auto"/>
        <w:left w:val="none" w:sz="0" w:space="0" w:color="auto"/>
        <w:bottom w:val="none" w:sz="0" w:space="0" w:color="auto"/>
        <w:right w:val="none" w:sz="0" w:space="0" w:color="auto"/>
      </w:divBdr>
    </w:div>
    <w:div w:id="958216841">
      <w:bodyDiv w:val="1"/>
      <w:marLeft w:val="0"/>
      <w:marRight w:val="0"/>
      <w:marTop w:val="0"/>
      <w:marBottom w:val="0"/>
      <w:divBdr>
        <w:top w:val="none" w:sz="0" w:space="0" w:color="auto"/>
        <w:left w:val="none" w:sz="0" w:space="0" w:color="auto"/>
        <w:bottom w:val="none" w:sz="0" w:space="0" w:color="auto"/>
        <w:right w:val="none" w:sz="0" w:space="0" w:color="auto"/>
      </w:divBdr>
    </w:div>
    <w:div w:id="1038313104">
      <w:bodyDiv w:val="1"/>
      <w:marLeft w:val="0"/>
      <w:marRight w:val="0"/>
      <w:marTop w:val="0"/>
      <w:marBottom w:val="0"/>
      <w:divBdr>
        <w:top w:val="none" w:sz="0" w:space="0" w:color="auto"/>
        <w:left w:val="none" w:sz="0" w:space="0" w:color="auto"/>
        <w:bottom w:val="none" w:sz="0" w:space="0" w:color="auto"/>
        <w:right w:val="none" w:sz="0" w:space="0" w:color="auto"/>
      </w:divBdr>
    </w:div>
    <w:div w:id="1053967566">
      <w:bodyDiv w:val="1"/>
      <w:marLeft w:val="0"/>
      <w:marRight w:val="0"/>
      <w:marTop w:val="0"/>
      <w:marBottom w:val="0"/>
      <w:divBdr>
        <w:top w:val="none" w:sz="0" w:space="0" w:color="auto"/>
        <w:left w:val="none" w:sz="0" w:space="0" w:color="auto"/>
        <w:bottom w:val="none" w:sz="0" w:space="0" w:color="auto"/>
        <w:right w:val="none" w:sz="0" w:space="0" w:color="auto"/>
      </w:divBdr>
    </w:div>
    <w:div w:id="1072510213">
      <w:bodyDiv w:val="1"/>
      <w:marLeft w:val="0"/>
      <w:marRight w:val="0"/>
      <w:marTop w:val="0"/>
      <w:marBottom w:val="0"/>
      <w:divBdr>
        <w:top w:val="none" w:sz="0" w:space="0" w:color="auto"/>
        <w:left w:val="none" w:sz="0" w:space="0" w:color="auto"/>
        <w:bottom w:val="none" w:sz="0" w:space="0" w:color="auto"/>
        <w:right w:val="none" w:sz="0" w:space="0" w:color="auto"/>
      </w:divBdr>
    </w:div>
    <w:div w:id="1078290208">
      <w:bodyDiv w:val="1"/>
      <w:marLeft w:val="0"/>
      <w:marRight w:val="0"/>
      <w:marTop w:val="0"/>
      <w:marBottom w:val="0"/>
      <w:divBdr>
        <w:top w:val="none" w:sz="0" w:space="0" w:color="auto"/>
        <w:left w:val="none" w:sz="0" w:space="0" w:color="auto"/>
        <w:bottom w:val="none" w:sz="0" w:space="0" w:color="auto"/>
        <w:right w:val="none" w:sz="0" w:space="0" w:color="auto"/>
      </w:divBdr>
    </w:div>
    <w:div w:id="1159424621">
      <w:bodyDiv w:val="1"/>
      <w:marLeft w:val="0"/>
      <w:marRight w:val="0"/>
      <w:marTop w:val="0"/>
      <w:marBottom w:val="0"/>
      <w:divBdr>
        <w:top w:val="none" w:sz="0" w:space="0" w:color="auto"/>
        <w:left w:val="none" w:sz="0" w:space="0" w:color="auto"/>
        <w:bottom w:val="none" w:sz="0" w:space="0" w:color="auto"/>
        <w:right w:val="none" w:sz="0" w:space="0" w:color="auto"/>
      </w:divBdr>
    </w:div>
    <w:div w:id="1214973345">
      <w:bodyDiv w:val="1"/>
      <w:marLeft w:val="0"/>
      <w:marRight w:val="0"/>
      <w:marTop w:val="0"/>
      <w:marBottom w:val="0"/>
      <w:divBdr>
        <w:top w:val="none" w:sz="0" w:space="0" w:color="auto"/>
        <w:left w:val="none" w:sz="0" w:space="0" w:color="auto"/>
        <w:bottom w:val="none" w:sz="0" w:space="0" w:color="auto"/>
        <w:right w:val="none" w:sz="0" w:space="0" w:color="auto"/>
      </w:divBdr>
    </w:div>
    <w:div w:id="1220746403">
      <w:bodyDiv w:val="1"/>
      <w:marLeft w:val="0"/>
      <w:marRight w:val="0"/>
      <w:marTop w:val="0"/>
      <w:marBottom w:val="0"/>
      <w:divBdr>
        <w:top w:val="none" w:sz="0" w:space="0" w:color="auto"/>
        <w:left w:val="none" w:sz="0" w:space="0" w:color="auto"/>
        <w:bottom w:val="none" w:sz="0" w:space="0" w:color="auto"/>
        <w:right w:val="none" w:sz="0" w:space="0" w:color="auto"/>
      </w:divBdr>
    </w:div>
    <w:div w:id="1290011343">
      <w:bodyDiv w:val="1"/>
      <w:marLeft w:val="0"/>
      <w:marRight w:val="0"/>
      <w:marTop w:val="0"/>
      <w:marBottom w:val="0"/>
      <w:divBdr>
        <w:top w:val="none" w:sz="0" w:space="0" w:color="auto"/>
        <w:left w:val="none" w:sz="0" w:space="0" w:color="auto"/>
        <w:bottom w:val="none" w:sz="0" w:space="0" w:color="auto"/>
        <w:right w:val="none" w:sz="0" w:space="0" w:color="auto"/>
      </w:divBdr>
    </w:div>
    <w:div w:id="1291519287">
      <w:bodyDiv w:val="1"/>
      <w:marLeft w:val="0"/>
      <w:marRight w:val="0"/>
      <w:marTop w:val="0"/>
      <w:marBottom w:val="0"/>
      <w:divBdr>
        <w:top w:val="none" w:sz="0" w:space="0" w:color="auto"/>
        <w:left w:val="none" w:sz="0" w:space="0" w:color="auto"/>
        <w:bottom w:val="none" w:sz="0" w:space="0" w:color="auto"/>
        <w:right w:val="none" w:sz="0" w:space="0" w:color="auto"/>
      </w:divBdr>
    </w:div>
    <w:div w:id="1310551914">
      <w:bodyDiv w:val="1"/>
      <w:marLeft w:val="0"/>
      <w:marRight w:val="0"/>
      <w:marTop w:val="0"/>
      <w:marBottom w:val="0"/>
      <w:divBdr>
        <w:top w:val="none" w:sz="0" w:space="0" w:color="auto"/>
        <w:left w:val="none" w:sz="0" w:space="0" w:color="auto"/>
        <w:bottom w:val="none" w:sz="0" w:space="0" w:color="auto"/>
        <w:right w:val="none" w:sz="0" w:space="0" w:color="auto"/>
      </w:divBdr>
    </w:div>
    <w:div w:id="1473329743">
      <w:bodyDiv w:val="1"/>
      <w:marLeft w:val="0"/>
      <w:marRight w:val="0"/>
      <w:marTop w:val="0"/>
      <w:marBottom w:val="0"/>
      <w:divBdr>
        <w:top w:val="none" w:sz="0" w:space="0" w:color="auto"/>
        <w:left w:val="none" w:sz="0" w:space="0" w:color="auto"/>
        <w:bottom w:val="none" w:sz="0" w:space="0" w:color="auto"/>
        <w:right w:val="none" w:sz="0" w:space="0" w:color="auto"/>
      </w:divBdr>
    </w:div>
    <w:div w:id="1513449853">
      <w:bodyDiv w:val="1"/>
      <w:marLeft w:val="0"/>
      <w:marRight w:val="0"/>
      <w:marTop w:val="0"/>
      <w:marBottom w:val="0"/>
      <w:divBdr>
        <w:top w:val="none" w:sz="0" w:space="0" w:color="auto"/>
        <w:left w:val="none" w:sz="0" w:space="0" w:color="auto"/>
        <w:bottom w:val="none" w:sz="0" w:space="0" w:color="auto"/>
        <w:right w:val="none" w:sz="0" w:space="0" w:color="auto"/>
      </w:divBdr>
    </w:div>
    <w:div w:id="1553535580">
      <w:bodyDiv w:val="1"/>
      <w:marLeft w:val="0"/>
      <w:marRight w:val="0"/>
      <w:marTop w:val="0"/>
      <w:marBottom w:val="0"/>
      <w:divBdr>
        <w:top w:val="none" w:sz="0" w:space="0" w:color="auto"/>
        <w:left w:val="none" w:sz="0" w:space="0" w:color="auto"/>
        <w:bottom w:val="none" w:sz="0" w:space="0" w:color="auto"/>
        <w:right w:val="none" w:sz="0" w:space="0" w:color="auto"/>
      </w:divBdr>
    </w:div>
    <w:div w:id="1737703778">
      <w:bodyDiv w:val="1"/>
      <w:marLeft w:val="0"/>
      <w:marRight w:val="0"/>
      <w:marTop w:val="0"/>
      <w:marBottom w:val="0"/>
      <w:divBdr>
        <w:top w:val="none" w:sz="0" w:space="0" w:color="auto"/>
        <w:left w:val="none" w:sz="0" w:space="0" w:color="auto"/>
        <w:bottom w:val="none" w:sz="0" w:space="0" w:color="auto"/>
        <w:right w:val="none" w:sz="0" w:space="0" w:color="auto"/>
      </w:divBdr>
    </w:div>
    <w:div w:id="1743603047">
      <w:bodyDiv w:val="1"/>
      <w:marLeft w:val="0"/>
      <w:marRight w:val="0"/>
      <w:marTop w:val="0"/>
      <w:marBottom w:val="0"/>
      <w:divBdr>
        <w:top w:val="none" w:sz="0" w:space="0" w:color="auto"/>
        <w:left w:val="none" w:sz="0" w:space="0" w:color="auto"/>
        <w:bottom w:val="none" w:sz="0" w:space="0" w:color="auto"/>
        <w:right w:val="none" w:sz="0" w:space="0" w:color="auto"/>
      </w:divBdr>
    </w:div>
    <w:div w:id="1765610674">
      <w:bodyDiv w:val="1"/>
      <w:marLeft w:val="0"/>
      <w:marRight w:val="0"/>
      <w:marTop w:val="0"/>
      <w:marBottom w:val="0"/>
      <w:divBdr>
        <w:top w:val="none" w:sz="0" w:space="0" w:color="auto"/>
        <w:left w:val="none" w:sz="0" w:space="0" w:color="auto"/>
        <w:bottom w:val="none" w:sz="0" w:space="0" w:color="auto"/>
        <w:right w:val="none" w:sz="0" w:space="0" w:color="auto"/>
      </w:divBdr>
    </w:div>
    <w:div w:id="1841768285">
      <w:bodyDiv w:val="1"/>
      <w:marLeft w:val="0"/>
      <w:marRight w:val="0"/>
      <w:marTop w:val="0"/>
      <w:marBottom w:val="0"/>
      <w:divBdr>
        <w:top w:val="none" w:sz="0" w:space="0" w:color="auto"/>
        <w:left w:val="none" w:sz="0" w:space="0" w:color="auto"/>
        <w:bottom w:val="none" w:sz="0" w:space="0" w:color="auto"/>
        <w:right w:val="none" w:sz="0" w:space="0" w:color="auto"/>
      </w:divBdr>
    </w:div>
    <w:div w:id="1841965392">
      <w:bodyDiv w:val="1"/>
      <w:marLeft w:val="0"/>
      <w:marRight w:val="0"/>
      <w:marTop w:val="0"/>
      <w:marBottom w:val="0"/>
      <w:divBdr>
        <w:top w:val="none" w:sz="0" w:space="0" w:color="auto"/>
        <w:left w:val="none" w:sz="0" w:space="0" w:color="auto"/>
        <w:bottom w:val="none" w:sz="0" w:space="0" w:color="auto"/>
        <w:right w:val="none" w:sz="0" w:space="0" w:color="auto"/>
      </w:divBdr>
    </w:div>
    <w:div w:id="1847668590">
      <w:bodyDiv w:val="1"/>
      <w:marLeft w:val="0"/>
      <w:marRight w:val="0"/>
      <w:marTop w:val="0"/>
      <w:marBottom w:val="0"/>
      <w:divBdr>
        <w:top w:val="none" w:sz="0" w:space="0" w:color="auto"/>
        <w:left w:val="none" w:sz="0" w:space="0" w:color="auto"/>
        <w:bottom w:val="none" w:sz="0" w:space="0" w:color="auto"/>
        <w:right w:val="none" w:sz="0" w:space="0" w:color="auto"/>
      </w:divBdr>
    </w:div>
    <w:div w:id="1889873520">
      <w:bodyDiv w:val="1"/>
      <w:marLeft w:val="0"/>
      <w:marRight w:val="0"/>
      <w:marTop w:val="0"/>
      <w:marBottom w:val="0"/>
      <w:divBdr>
        <w:top w:val="none" w:sz="0" w:space="0" w:color="auto"/>
        <w:left w:val="none" w:sz="0" w:space="0" w:color="auto"/>
        <w:bottom w:val="none" w:sz="0" w:space="0" w:color="auto"/>
        <w:right w:val="none" w:sz="0" w:space="0" w:color="auto"/>
      </w:divBdr>
    </w:div>
    <w:div w:id="1976178162">
      <w:bodyDiv w:val="1"/>
      <w:marLeft w:val="0"/>
      <w:marRight w:val="0"/>
      <w:marTop w:val="0"/>
      <w:marBottom w:val="0"/>
      <w:divBdr>
        <w:top w:val="none" w:sz="0" w:space="0" w:color="auto"/>
        <w:left w:val="none" w:sz="0" w:space="0" w:color="auto"/>
        <w:bottom w:val="none" w:sz="0" w:space="0" w:color="auto"/>
        <w:right w:val="none" w:sz="0" w:space="0" w:color="auto"/>
      </w:divBdr>
    </w:div>
    <w:div w:id="20126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1253</TotalTime>
  <Pages>9</Pages>
  <Words>3523</Words>
  <Characters>19382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2016-11-07T14:43:00Z</dcterms:created>
  <dcterms:modified xsi:type="dcterms:W3CDTF">2016-11-08T11:35:00Z</dcterms:modified>
</cp:coreProperties>
</file>